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9C" w:rsidRPr="00557196" w:rsidRDefault="00557196">
      <w:pPr>
        <w:rPr>
          <w:rFonts w:ascii="Quicksand" w:eastAsia="Quicksand" w:hAnsi="Quicksand" w:cs="Quicksand"/>
          <w:b/>
          <w:sz w:val="28"/>
          <w:szCs w:val="28"/>
        </w:rPr>
      </w:pPr>
      <w:r w:rsidRPr="00557196">
        <w:rPr>
          <w:rFonts w:ascii="Quicksand" w:eastAsia="Quicksand" w:hAnsi="Quicksand" w:cs="Quicksand"/>
          <w:b/>
          <w:noProof/>
          <w:sz w:val="28"/>
          <w:szCs w:val="28"/>
        </w:rPr>
        <w:drawing>
          <wp:anchor distT="0" distB="0" distL="114300" distR="114300" simplePos="0" relativeHeight="251658240" behindDoc="0" locked="0" layoutInCell="1" allowOverlap="1">
            <wp:simplePos x="0" y="0"/>
            <wp:positionH relativeFrom="column">
              <wp:posOffset>6590030</wp:posOffset>
            </wp:positionH>
            <wp:positionV relativeFrom="paragraph">
              <wp:posOffset>-534670</wp:posOffset>
            </wp:positionV>
            <wp:extent cx="1224915" cy="122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quare 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page">
              <wp14:pctWidth>0</wp14:pctWidth>
            </wp14:sizeRelH>
            <wp14:sizeRelV relativeFrom="page">
              <wp14:pctHeight>0</wp14:pctHeight>
            </wp14:sizeRelV>
          </wp:anchor>
        </w:drawing>
      </w:r>
      <w:r w:rsidRPr="00557196">
        <w:rPr>
          <w:rFonts w:ascii="Quicksand" w:eastAsia="Quicksand" w:hAnsi="Quicksand" w:cs="Quicksand"/>
          <w:b/>
          <w:sz w:val="28"/>
          <w:szCs w:val="28"/>
        </w:rPr>
        <w:t xml:space="preserve">Community Art Education Award </w:t>
      </w:r>
      <w:r w:rsidRPr="00557196">
        <w:rPr>
          <w:rFonts w:ascii="Quicksand" w:eastAsia="Quicksand" w:hAnsi="Quicksand" w:cs="Quicksand"/>
          <w:b/>
          <w:sz w:val="28"/>
          <w:szCs w:val="28"/>
        </w:rPr>
        <w:tab/>
      </w:r>
      <w:r w:rsidRPr="00557196">
        <w:rPr>
          <w:rFonts w:ascii="Quicksand" w:eastAsia="Quicksand" w:hAnsi="Quicksand" w:cs="Quicksand"/>
          <w:b/>
          <w:sz w:val="28"/>
          <w:szCs w:val="28"/>
        </w:rPr>
        <w:tab/>
      </w:r>
      <w:r w:rsidRPr="00557196">
        <w:rPr>
          <w:rFonts w:ascii="Quicksand" w:eastAsia="Quicksand" w:hAnsi="Quicksand" w:cs="Quicksand"/>
          <w:b/>
          <w:sz w:val="28"/>
          <w:szCs w:val="28"/>
        </w:rPr>
        <w:tab/>
      </w:r>
      <w:r w:rsidRPr="00557196">
        <w:rPr>
          <w:rFonts w:ascii="Quicksand" w:eastAsia="Quicksand" w:hAnsi="Quicksand" w:cs="Quicksand"/>
          <w:b/>
          <w:sz w:val="28"/>
          <w:szCs w:val="28"/>
        </w:rPr>
        <w:tab/>
      </w:r>
      <w:r w:rsidRPr="00557196">
        <w:rPr>
          <w:rFonts w:ascii="Quicksand" w:eastAsia="Quicksand" w:hAnsi="Quicksand" w:cs="Quicksand"/>
          <w:b/>
          <w:sz w:val="28"/>
          <w:szCs w:val="28"/>
        </w:rPr>
        <w:tab/>
      </w:r>
      <w:r w:rsidRPr="00557196">
        <w:rPr>
          <w:rFonts w:ascii="Quicksand" w:eastAsia="Quicksand" w:hAnsi="Quicksand" w:cs="Quicksand"/>
          <w:b/>
          <w:sz w:val="28"/>
          <w:szCs w:val="28"/>
        </w:rPr>
        <w:tab/>
      </w:r>
      <w:r w:rsidRPr="00557196">
        <w:rPr>
          <w:rFonts w:ascii="Quicksand" w:eastAsia="Quicksand" w:hAnsi="Quicksand" w:cs="Quicksand"/>
          <w:b/>
          <w:sz w:val="28"/>
          <w:szCs w:val="28"/>
        </w:rPr>
        <w:tab/>
      </w:r>
    </w:p>
    <w:p w:rsidR="009C6634" w:rsidRPr="00557196" w:rsidRDefault="00557196">
      <w:pPr>
        <w:rPr>
          <w:rFonts w:ascii="Quicksand" w:eastAsia="Quicksand" w:hAnsi="Quicksand" w:cs="Quicksand"/>
          <w:b/>
          <w:sz w:val="28"/>
          <w:szCs w:val="28"/>
        </w:rPr>
      </w:pPr>
      <w:r w:rsidRPr="00557196">
        <w:rPr>
          <w:rFonts w:ascii="Quicksand" w:eastAsia="Quicksand" w:hAnsi="Quicksand" w:cs="Quicksand"/>
          <w:b/>
          <w:sz w:val="28"/>
          <w:szCs w:val="28"/>
        </w:rPr>
        <w:t>Criteria for Committee Selection</w:t>
      </w:r>
    </w:p>
    <w:p w:rsidR="009C6634" w:rsidRDefault="009C6634">
      <w:pPr>
        <w:rPr>
          <w:rFonts w:ascii="Quicksand" w:eastAsia="Quicksand" w:hAnsi="Quicksand" w:cs="Quicksand"/>
          <w:b/>
          <w:sz w:val="24"/>
          <w:szCs w:val="24"/>
        </w:rPr>
      </w:pPr>
    </w:p>
    <w:p w:rsidR="009C6634" w:rsidRDefault="00557196">
      <w:pPr>
        <w:rPr>
          <w:rFonts w:ascii="Quicksand" w:eastAsia="Quicksand" w:hAnsi="Quicksand" w:cs="Quicksand"/>
          <w:b/>
          <w:sz w:val="24"/>
          <w:szCs w:val="24"/>
        </w:rPr>
      </w:pPr>
      <w:r>
        <w:rPr>
          <w:rFonts w:ascii="Quicksand" w:eastAsia="Quicksand" w:hAnsi="Quicksand" w:cs="Quicksand"/>
          <w:b/>
          <w:sz w:val="24"/>
          <w:szCs w:val="24"/>
        </w:rPr>
        <w:t>CSEA/SCÉA mandate</w:t>
      </w:r>
    </w:p>
    <w:p w:rsidR="009C6634" w:rsidRDefault="00557196">
      <w:pPr>
        <w:rPr>
          <w:rFonts w:ascii="Quicksand" w:eastAsia="Quicksand" w:hAnsi="Quicksand" w:cs="Quicksand"/>
          <w:sz w:val="24"/>
          <w:szCs w:val="24"/>
        </w:rPr>
      </w:pPr>
      <w:r>
        <w:rPr>
          <w:rFonts w:ascii="Quicksand" w:eastAsia="Quicksand" w:hAnsi="Quicksand" w:cs="Quicksand"/>
          <w:sz w:val="24"/>
          <w:szCs w:val="24"/>
        </w:rPr>
        <w:t>We are dedicated to the visual arts as essential to student learning in schools, colleges, universities, community settings and other venues, because art education is the conduit to holistic human growth and development, both affective and cognitive. The v</w:t>
      </w:r>
      <w:r>
        <w:rPr>
          <w:rFonts w:ascii="Quicksand" w:eastAsia="Quicksand" w:hAnsi="Quicksand" w:cs="Quicksand"/>
          <w:sz w:val="24"/>
          <w:szCs w:val="24"/>
        </w:rPr>
        <w:t>isual arts are implicit in and expressive of culture. Engagement in and with the visual arts has the power to transform who we are individually and collectively.</w:t>
      </w:r>
    </w:p>
    <w:p w:rsidR="009C6634" w:rsidRDefault="009C6634">
      <w:pPr>
        <w:rPr>
          <w:rFonts w:ascii="Quicksand" w:eastAsia="Quicksand" w:hAnsi="Quicksand" w:cs="Quicksand"/>
          <w:sz w:val="24"/>
          <w:szCs w:val="24"/>
        </w:rPr>
      </w:pPr>
    </w:p>
    <w:p w:rsidR="009C6634" w:rsidRDefault="00557196">
      <w:pPr>
        <w:rPr>
          <w:rFonts w:ascii="Quicksand" w:eastAsia="Quicksand" w:hAnsi="Quicksand" w:cs="Quicksand"/>
          <w:sz w:val="24"/>
          <w:szCs w:val="24"/>
        </w:rPr>
      </w:pPr>
      <w:r>
        <w:rPr>
          <w:rFonts w:ascii="Quicksand" w:eastAsia="Quicksand" w:hAnsi="Quicksand" w:cs="Quicksand"/>
          <w:sz w:val="24"/>
          <w:szCs w:val="24"/>
        </w:rPr>
        <w:t>Community art educators or community art organizations in Canada can be nominated for this aw</w:t>
      </w:r>
      <w:r>
        <w:rPr>
          <w:rFonts w:ascii="Quicksand" w:eastAsia="Quicksand" w:hAnsi="Quicksand" w:cs="Quicksand"/>
          <w:sz w:val="24"/>
          <w:szCs w:val="24"/>
        </w:rPr>
        <w:t>ard. The nominee should demonstrate:</w:t>
      </w:r>
    </w:p>
    <w:p w:rsidR="009C6634" w:rsidRDefault="00557196">
      <w:pPr>
        <w:numPr>
          <w:ilvl w:val="0"/>
          <w:numId w:val="1"/>
        </w:numPr>
        <w:contextualSpacing/>
        <w:rPr>
          <w:rFonts w:ascii="Quicksand" w:eastAsia="Quicksand" w:hAnsi="Quicksand" w:cs="Quicksand"/>
          <w:sz w:val="24"/>
          <w:szCs w:val="24"/>
        </w:rPr>
      </w:pPr>
      <w:r>
        <w:rPr>
          <w:rFonts w:ascii="Quicksand" w:eastAsia="Quicksand" w:hAnsi="Quicksand" w:cs="Quicksand"/>
          <w:sz w:val="24"/>
          <w:szCs w:val="24"/>
        </w:rPr>
        <w:t>Leadership in community art organization</w:t>
      </w:r>
    </w:p>
    <w:p w:rsidR="009C6634" w:rsidRDefault="00557196">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a significant contribution to art education locally and beyond </w:t>
      </w:r>
      <w:bookmarkStart w:id="0" w:name="_GoBack"/>
      <w:bookmarkEnd w:id="0"/>
    </w:p>
    <w:p w:rsidR="009C6634" w:rsidRDefault="00557196">
      <w:pPr>
        <w:numPr>
          <w:ilvl w:val="0"/>
          <w:numId w:val="1"/>
        </w:numPr>
        <w:rPr>
          <w:rFonts w:ascii="Quicksand" w:eastAsia="Quicksand" w:hAnsi="Quicksand" w:cs="Quicksand"/>
          <w:sz w:val="24"/>
          <w:szCs w:val="24"/>
        </w:rPr>
      </w:pPr>
      <w:r>
        <w:rPr>
          <w:rFonts w:ascii="Quicksand" w:eastAsia="Quicksand" w:hAnsi="Quicksand" w:cs="Quicksand"/>
          <w:sz w:val="24"/>
          <w:szCs w:val="24"/>
        </w:rPr>
        <w:t>the mandate of the CSEA/SCÉA</w:t>
      </w:r>
    </w:p>
    <w:p w:rsidR="009C6634" w:rsidRDefault="009C6634">
      <w:pPr>
        <w:rPr>
          <w:rFonts w:ascii="Quicksand" w:eastAsia="Quicksand" w:hAnsi="Quicksand" w:cs="Quicksand"/>
          <w:sz w:val="24"/>
          <w:szCs w:val="24"/>
        </w:rPr>
      </w:pPr>
    </w:p>
    <w:p w:rsidR="009C6634" w:rsidRDefault="00557196">
      <w:pPr>
        <w:rPr>
          <w:rFonts w:ascii="Quicksand" w:eastAsia="Quicksand" w:hAnsi="Quicksand" w:cs="Quicksand"/>
          <w:sz w:val="24"/>
          <w:szCs w:val="24"/>
        </w:rPr>
      </w:pPr>
      <w:r>
        <w:rPr>
          <w:rFonts w:ascii="Quicksand" w:eastAsia="Quicksand" w:hAnsi="Quicksand" w:cs="Quicksand"/>
          <w:sz w:val="24"/>
          <w:szCs w:val="24"/>
        </w:rPr>
        <w:t>Ratings for strength and alignment of evidence:</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2210"/>
      </w:tblGrid>
      <w:tr w:rsidR="009C6634">
        <w:trPr>
          <w:trHeight w:val="660"/>
        </w:trPr>
        <w:tc>
          <w:tcPr>
            <w:tcW w:w="750" w:type="dxa"/>
            <w:shd w:val="clear" w:color="auto" w:fill="auto"/>
            <w:tcMar>
              <w:top w:w="100" w:type="dxa"/>
              <w:left w:w="100" w:type="dxa"/>
              <w:bottom w:w="100" w:type="dxa"/>
              <w:right w:w="100" w:type="dxa"/>
            </w:tcMar>
          </w:tcPr>
          <w:p w:rsidR="009C6634" w:rsidRDefault="00557196">
            <w:pPr>
              <w:widowControl w:val="0"/>
              <w:spacing w:line="240" w:lineRule="auto"/>
              <w:rPr>
                <w:rFonts w:ascii="Quicksand" w:eastAsia="Quicksand" w:hAnsi="Quicksand" w:cs="Quicksand"/>
                <w:sz w:val="24"/>
                <w:szCs w:val="24"/>
              </w:rPr>
            </w:pPr>
            <w:r>
              <w:rPr>
                <w:rFonts w:ascii="Quicksand" w:eastAsia="Quicksand" w:hAnsi="Quicksand" w:cs="Quicksand"/>
                <w:sz w:val="24"/>
                <w:szCs w:val="24"/>
              </w:rPr>
              <w:t>4</w:t>
            </w:r>
          </w:p>
        </w:tc>
        <w:tc>
          <w:tcPr>
            <w:tcW w:w="12210" w:type="dxa"/>
            <w:shd w:val="clear" w:color="auto" w:fill="auto"/>
            <w:tcMar>
              <w:top w:w="100" w:type="dxa"/>
              <w:left w:w="100" w:type="dxa"/>
              <w:bottom w:w="100" w:type="dxa"/>
              <w:right w:w="100" w:type="dxa"/>
            </w:tcMar>
          </w:tcPr>
          <w:p w:rsidR="009C6634" w:rsidRDefault="00557196">
            <w:pPr>
              <w:rPr>
                <w:rFonts w:ascii="Quicksand" w:eastAsia="Quicksand" w:hAnsi="Quicksand" w:cs="Quicksand"/>
                <w:sz w:val="24"/>
                <w:szCs w:val="24"/>
              </w:rPr>
            </w:pPr>
            <w:r>
              <w:rPr>
                <w:rFonts w:ascii="Quicksand" w:eastAsia="Quicksand" w:hAnsi="Quicksand" w:cs="Quicksand"/>
                <w:sz w:val="24"/>
                <w:szCs w:val="24"/>
              </w:rPr>
              <w:t>Outstanding evidence provided from</w:t>
            </w:r>
            <w:r>
              <w:rPr>
                <w:rFonts w:ascii="Quicksand" w:eastAsia="Quicksand" w:hAnsi="Quicksand" w:cs="Quicksand"/>
                <w:sz w:val="24"/>
                <w:szCs w:val="24"/>
              </w:rPr>
              <w:t xml:space="preserve"> peers, students, and nominee to support criterion. Alignment between multiple sources of evidence is clear for this criterion. </w:t>
            </w:r>
          </w:p>
        </w:tc>
      </w:tr>
      <w:tr w:rsidR="009C6634">
        <w:tc>
          <w:tcPr>
            <w:tcW w:w="750" w:type="dxa"/>
            <w:shd w:val="clear" w:color="auto" w:fill="auto"/>
            <w:tcMar>
              <w:top w:w="100" w:type="dxa"/>
              <w:left w:w="100" w:type="dxa"/>
              <w:bottom w:w="100" w:type="dxa"/>
              <w:right w:w="100" w:type="dxa"/>
            </w:tcMar>
          </w:tcPr>
          <w:p w:rsidR="009C6634" w:rsidRDefault="00557196">
            <w:pPr>
              <w:widowControl w:val="0"/>
              <w:spacing w:line="240" w:lineRule="auto"/>
              <w:rPr>
                <w:rFonts w:ascii="Quicksand" w:eastAsia="Quicksand" w:hAnsi="Quicksand" w:cs="Quicksand"/>
                <w:sz w:val="24"/>
                <w:szCs w:val="24"/>
              </w:rPr>
            </w:pPr>
            <w:r>
              <w:rPr>
                <w:rFonts w:ascii="Quicksand" w:eastAsia="Quicksand" w:hAnsi="Quicksand" w:cs="Quicksand"/>
                <w:sz w:val="24"/>
                <w:szCs w:val="24"/>
              </w:rPr>
              <w:t>3</w:t>
            </w:r>
          </w:p>
        </w:tc>
        <w:tc>
          <w:tcPr>
            <w:tcW w:w="12210" w:type="dxa"/>
            <w:shd w:val="clear" w:color="auto" w:fill="auto"/>
            <w:tcMar>
              <w:top w:w="100" w:type="dxa"/>
              <w:left w:w="100" w:type="dxa"/>
              <w:bottom w:w="100" w:type="dxa"/>
              <w:right w:w="100" w:type="dxa"/>
            </w:tcMar>
          </w:tcPr>
          <w:p w:rsidR="009C6634" w:rsidRDefault="00557196">
            <w:pPr>
              <w:rPr>
                <w:rFonts w:ascii="Quicksand" w:eastAsia="Quicksand" w:hAnsi="Quicksand" w:cs="Quicksand"/>
                <w:sz w:val="24"/>
                <w:szCs w:val="24"/>
              </w:rPr>
            </w:pPr>
            <w:r>
              <w:rPr>
                <w:rFonts w:ascii="Quicksand" w:eastAsia="Quicksand" w:hAnsi="Quicksand" w:cs="Quicksand"/>
                <w:sz w:val="24"/>
                <w:szCs w:val="24"/>
              </w:rPr>
              <w:t xml:space="preserve">Strong evidence provided from peers, students, and nominee to support criterion, with some gaps evident. </w:t>
            </w:r>
          </w:p>
        </w:tc>
      </w:tr>
      <w:tr w:rsidR="009C6634">
        <w:tc>
          <w:tcPr>
            <w:tcW w:w="750" w:type="dxa"/>
            <w:shd w:val="clear" w:color="auto" w:fill="auto"/>
            <w:tcMar>
              <w:top w:w="100" w:type="dxa"/>
              <w:left w:w="100" w:type="dxa"/>
              <w:bottom w:w="100" w:type="dxa"/>
              <w:right w:w="100" w:type="dxa"/>
            </w:tcMar>
          </w:tcPr>
          <w:p w:rsidR="009C6634" w:rsidRDefault="00557196">
            <w:pPr>
              <w:widowControl w:val="0"/>
              <w:spacing w:line="240" w:lineRule="auto"/>
              <w:rPr>
                <w:rFonts w:ascii="Quicksand" w:eastAsia="Quicksand" w:hAnsi="Quicksand" w:cs="Quicksand"/>
                <w:sz w:val="24"/>
                <w:szCs w:val="24"/>
              </w:rPr>
            </w:pPr>
            <w:r>
              <w:rPr>
                <w:rFonts w:ascii="Quicksand" w:eastAsia="Quicksand" w:hAnsi="Quicksand" w:cs="Quicksand"/>
                <w:sz w:val="24"/>
                <w:szCs w:val="24"/>
              </w:rPr>
              <w:t>2</w:t>
            </w:r>
          </w:p>
        </w:tc>
        <w:tc>
          <w:tcPr>
            <w:tcW w:w="12210" w:type="dxa"/>
            <w:shd w:val="clear" w:color="auto" w:fill="auto"/>
            <w:tcMar>
              <w:top w:w="100" w:type="dxa"/>
              <w:left w:w="100" w:type="dxa"/>
              <w:bottom w:w="100" w:type="dxa"/>
              <w:right w:w="100" w:type="dxa"/>
            </w:tcMar>
          </w:tcPr>
          <w:p w:rsidR="009C6634" w:rsidRDefault="00557196">
            <w:pPr>
              <w:rPr>
                <w:rFonts w:ascii="Quicksand" w:eastAsia="Quicksand" w:hAnsi="Quicksand" w:cs="Quicksand"/>
                <w:sz w:val="24"/>
                <w:szCs w:val="24"/>
              </w:rPr>
            </w:pPr>
            <w:r>
              <w:rPr>
                <w:rFonts w:ascii="Quicksand" w:eastAsia="Quicksand" w:hAnsi="Quicksand" w:cs="Quicksand"/>
                <w:sz w:val="24"/>
                <w:szCs w:val="24"/>
              </w:rPr>
              <w:t xml:space="preserve">Moderate evidence provided from peers, students, and nominee to support criterion, with gaps evident. Alignment between multiple sources of evidence unclear for this criterion. </w:t>
            </w:r>
          </w:p>
        </w:tc>
      </w:tr>
      <w:tr w:rsidR="009C6634">
        <w:tc>
          <w:tcPr>
            <w:tcW w:w="750" w:type="dxa"/>
            <w:shd w:val="clear" w:color="auto" w:fill="auto"/>
            <w:tcMar>
              <w:top w:w="100" w:type="dxa"/>
              <w:left w:w="100" w:type="dxa"/>
              <w:bottom w:w="100" w:type="dxa"/>
              <w:right w:w="100" w:type="dxa"/>
            </w:tcMar>
          </w:tcPr>
          <w:p w:rsidR="009C6634" w:rsidRDefault="00557196">
            <w:pPr>
              <w:widowControl w:val="0"/>
              <w:spacing w:line="240" w:lineRule="auto"/>
              <w:rPr>
                <w:rFonts w:ascii="Quicksand" w:eastAsia="Quicksand" w:hAnsi="Quicksand" w:cs="Quicksand"/>
                <w:sz w:val="24"/>
                <w:szCs w:val="24"/>
              </w:rPr>
            </w:pPr>
            <w:r>
              <w:rPr>
                <w:rFonts w:ascii="Quicksand" w:eastAsia="Quicksand" w:hAnsi="Quicksand" w:cs="Quicksand"/>
                <w:sz w:val="24"/>
                <w:szCs w:val="24"/>
              </w:rPr>
              <w:t>1</w:t>
            </w:r>
          </w:p>
        </w:tc>
        <w:tc>
          <w:tcPr>
            <w:tcW w:w="12210" w:type="dxa"/>
            <w:shd w:val="clear" w:color="auto" w:fill="auto"/>
            <w:tcMar>
              <w:top w:w="100" w:type="dxa"/>
              <w:left w:w="100" w:type="dxa"/>
              <w:bottom w:w="100" w:type="dxa"/>
              <w:right w:w="100" w:type="dxa"/>
            </w:tcMar>
          </w:tcPr>
          <w:p w:rsidR="009C6634" w:rsidRDefault="00557196">
            <w:pPr>
              <w:rPr>
                <w:rFonts w:ascii="Quicksand" w:eastAsia="Quicksand" w:hAnsi="Quicksand" w:cs="Quicksand"/>
                <w:sz w:val="24"/>
                <w:szCs w:val="24"/>
              </w:rPr>
            </w:pPr>
            <w:r>
              <w:rPr>
                <w:rFonts w:ascii="Quicksand" w:eastAsia="Quicksand" w:hAnsi="Quicksand" w:cs="Quicksand"/>
                <w:sz w:val="24"/>
                <w:szCs w:val="24"/>
              </w:rPr>
              <w:t>Little to no evidence is provided from peers, students, and nominee to supp</w:t>
            </w:r>
            <w:r>
              <w:rPr>
                <w:rFonts w:ascii="Quicksand" w:eastAsia="Quicksand" w:hAnsi="Quicksand" w:cs="Quicksand"/>
                <w:sz w:val="24"/>
                <w:szCs w:val="24"/>
              </w:rPr>
              <w:t xml:space="preserve">ort criterion. </w:t>
            </w:r>
          </w:p>
        </w:tc>
      </w:tr>
    </w:tbl>
    <w:p w:rsidR="009C6634" w:rsidRDefault="009C6634">
      <w:pPr>
        <w:rPr>
          <w:rFonts w:ascii="Quicksand" w:eastAsia="Quicksand" w:hAnsi="Quicksand" w:cs="Quicksand"/>
          <w:sz w:val="24"/>
          <w:szCs w:val="24"/>
        </w:rPr>
      </w:pPr>
    </w:p>
    <w:p w:rsidR="009C6634" w:rsidRDefault="009C6634">
      <w:pPr>
        <w:rPr>
          <w:rFonts w:ascii="Quicksand" w:eastAsia="Quicksand" w:hAnsi="Quicksand" w:cs="Quicksand"/>
          <w:sz w:val="24"/>
          <w:szCs w:val="24"/>
        </w:rPr>
      </w:pPr>
    </w:p>
    <w:tbl>
      <w:tblPr>
        <w:tblStyle w:val="a0"/>
        <w:tblW w:w="126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30"/>
        <w:gridCol w:w="1410"/>
        <w:gridCol w:w="7650"/>
      </w:tblGrid>
      <w:tr w:rsidR="009C6634">
        <w:tc>
          <w:tcPr>
            <w:tcW w:w="3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b/>
                <w:sz w:val="24"/>
                <w:szCs w:val="24"/>
              </w:rPr>
            </w:pPr>
            <w:r>
              <w:rPr>
                <w:rFonts w:ascii="Quicksand" w:eastAsia="Quicksand" w:hAnsi="Quicksand" w:cs="Quicksand"/>
                <w:b/>
                <w:sz w:val="24"/>
                <w:szCs w:val="24"/>
              </w:rPr>
              <w:lastRenderedPageBreak/>
              <w:t>Criteria for CSEA/SCÉA Community Art Education Award</w:t>
            </w:r>
          </w:p>
        </w:tc>
        <w:tc>
          <w:tcPr>
            <w:tcW w:w="1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b/>
                <w:sz w:val="24"/>
                <w:szCs w:val="24"/>
              </w:rPr>
            </w:pPr>
            <w:r>
              <w:rPr>
                <w:rFonts w:ascii="Quicksand" w:eastAsia="Quicksand" w:hAnsi="Quicksand" w:cs="Quicksand"/>
                <w:b/>
                <w:sz w:val="24"/>
                <w:szCs w:val="24"/>
              </w:rPr>
              <w:t xml:space="preserve">Ranking 1-4 </w:t>
            </w:r>
          </w:p>
        </w:tc>
        <w:tc>
          <w:tcPr>
            <w:tcW w:w="7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b/>
                <w:sz w:val="24"/>
                <w:szCs w:val="24"/>
              </w:rPr>
            </w:pPr>
            <w:r>
              <w:rPr>
                <w:rFonts w:ascii="Quicksand" w:eastAsia="Quicksand" w:hAnsi="Quicksand" w:cs="Quicksand"/>
                <w:b/>
                <w:sz w:val="24"/>
                <w:szCs w:val="24"/>
              </w:rPr>
              <w:t>Comments</w:t>
            </w:r>
          </w:p>
        </w:tc>
      </w:tr>
      <w:tr w:rsidR="009C6634">
        <w:tc>
          <w:tcPr>
            <w:tcW w:w="3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The individual or arts organization is highly active in community art education</w:t>
            </w:r>
          </w:p>
          <w:p w:rsidR="009C6634" w:rsidRDefault="009C6634">
            <w:pPr>
              <w:spacing w:line="240" w:lineRule="auto"/>
              <w:rPr>
                <w:rFonts w:ascii="Quicksand" w:eastAsia="Quicksand" w:hAnsi="Quicksand" w:cs="Quicksand"/>
                <w:sz w:val="24"/>
                <w:szCs w:val="24"/>
              </w:rPr>
            </w:pPr>
          </w:p>
          <w:p w:rsidR="009C6634" w:rsidRDefault="009C6634">
            <w:pPr>
              <w:spacing w:line="240" w:lineRule="auto"/>
              <w:rPr>
                <w:rFonts w:ascii="Quicksand" w:eastAsia="Quicksand" w:hAnsi="Quicksand" w:cs="Quicksand"/>
                <w:sz w:val="24"/>
                <w:szCs w:val="24"/>
              </w:rPr>
            </w:pP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c>
          <w:tcPr>
            <w:tcW w:w="765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r>
      <w:tr w:rsidR="009C6634">
        <w:tc>
          <w:tcPr>
            <w:tcW w:w="3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The individual or arts organization shows leadership in community art education, and significant public engagement</w:t>
            </w:r>
          </w:p>
          <w:p w:rsidR="009C6634" w:rsidRDefault="009C6634">
            <w:pPr>
              <w:spacing w:line="240" w:lineRule="auto"/>
              <w:rPr>
                <w:rFonts w:ascii="Quicksand" w:eastAsia="Quicksand" w:hAnsi="Quicksand" w:cs="Quicksand"/>
                <w:sz w:val="24"/>
                <w:szCs w:val="24"/>
              </w:rPr>
            </w:pPr>
          </w:p>
          <w:p w:rsidR="009C6634" w:rsidRDefault="009C6634">
            <w:pPr>
              <w:spacing w:line="240" w:lineRule="auto"/>
              <w:rPr>
                <w:rFonts w:ascii="Quicksand" w:eastAsia="Quicksand" w:hAnsi="Quicksand" w:cs="Quicksand"/>
                <w:sz w:val="24"/>
                <w:szCs w:val="24"/>
              </w:rPr>
            </w:pP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c>
          <w:tcPr>
            <w:tcW w:w="765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9C6634">
            <w:pPr>
              <w:spacing w:line="240" w:lineRule="auto"/>
              <w:rPr>
                <w:rFonts w:ascii="Quicksand" w:eastAsia="Quicksand" w:hAnsi="Quicksand" w:cs="Quicksand"/>
                <w:sz w:val="24"/>
                <w:szCs w:val="24"/>
              </w:rPr>
            </w:pPr>
          </w:p>
        </w:tc>
      </w:tr>
      <w:tr w:rsidR="009C6634">
        <w:tc>
          <w:tcPr>
            <w:tcW w:w="3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The individual or arts organization’s work upholds the principles that broadly inform the mandate of the CSEA/SCÉA.</w:t>
            </w:r>
          </w:p>
          <w:p w:rsidR="009C6634" w:rsidRDefault="009C6634">
            <w:pPr>
              <w:spacing w:line="240" w:lineRule="auto"/>
              <w:rPr>
                <w:rFonts w:ascii="Quicksand" w:eastAsia="Quicksand" w:hAnsi="Quicksand" w:cs="Quicksand"/>
                <w:sz w:val="24"/>
                <w:szCs w:val="24"/>
              </w:rPr>
            </w:pPr>
          </w:p>
          <w:p w:rsidR="009C6634" w:rsidRDefault="009C6634">
            <w:pPr>
              <w:spacing w:line="240" w:lineRule="auto"/>
              <w:rPr>
                <w:rFonts w:ascii="Quicksand" w:eastAsia="Quicksand" w:hAnsi="Quicksand" w:cs="Quicksand"/>
                <w:sz w:val="24"/>
                <w:szCs w:val="24"/>
              </w:rPr>
            </w:pP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c>
          <w:tcPr>
            <w:tcW w:w="765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r>
      <w:tr w:rsidR="009C6634">
        <w:tc>
          <w:tcPr>
            <w:tcW w:w="3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Total Scor</w:t>
            </w:r>
            <w:r>
              <w:rPr>
                <w:rFonts w:ascii="Quicksand" w:eastAsia="Quicksand" w:hAnsi="Quicksand" w:cs="Quicksand"/>
                <w:sz w:val="24"/>
                <w:szCs w:val="24"/>
              </w:rPr>
              <w:t>e</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c>
          <w:tcPr>
            <w:tcW w:w="7650" w:type="dxa"/>
            <w:tcBorders>
              <w:bottom w:val="single" w:sz="8" w:space="0" w:color="000000"/>
              <w:right w:val="single" w:sz="8" w:space="0" w:color="000000"/>
            </w:tcBorders>
            <w:shd w:val="clear" w:color="auto" w:fill="auto"/>
            <w:tcMar>
              <w:top w:w="100" w:type="dxa"/>
              <w:left w:w="100" w:type="dxa"/>
              <w:bottom w:w="100" w:type="dxa"/>
              <w:right w:w="100" w:type="dxa"/>
            </w:tcMar>
          </w:tcPr>
          <w:p w:rsidR="009C6634" w:rsidRDefault="00557196">
            <w:pPr>
              <w:spacing w:line="240" w:lineRule="auto"/>
              <w:rPr>
                <w:rFonts w:ascii="Quicksand" w:eastAsia="Quicksand" w:hAnsi="Quicksand" w:cs="Quicksand"/>
                <w:sz w:val="24"/>
                <w:szCs w:val="24"/>
              </w:rPr>
            </w:pPr>
            <w:r>
              <w:rPr>
                <w:rFonts w:ascii="Quicksand" w:eastAsia="Quicksand" w:hAnsi="Quicksand" w:cs="Quicksand"/>
                <w:sz w:val="24"/>
                <w:szCs w:val="24"/>
              </w:rPr>
              <w:t xml:space="preserve"> </w:t>
            </w:r>
          </w:p>
        </w:tc>
      </w:tr>
    </w:tbl>
    <w:p w:rsidR="009C6634" w:rsidRDefault="009C6634">
      <w:pPr>
        <w:rPr>
          <w:rFonts w:ascii="Quicksand" w:eastAsia="Quicksand" w:hAnsi="Quicksand" w:cs="Quicksand"/>
          <w:sz w:val="24"/>
          <w:szCs w:val="24"/>
        </w:rPr>
      </w:pPr>
    </w:p>
    <w:sectPr w:rsidR="009C6634">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4F3F"/>
    <w:multiLevelType w:val="multilevel"/>
    <w:tmpl w:val="DBEA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6634"/>
    <w:rsid w:val="00557196"/>
    <w:rsid w:val="009C6634"/>
    <w:rsid w:val="009D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D2C6"/>
  <w15:docId w15:val="{A33147D9-A96F-094A-B27B-65BA2BF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Mary-Jane</cp:lastModifiedBy>
  <cp:revision>2</cp:revision>
  <dcterms:created xsi:type="dcterms:W3CDTF">2018-02-24T22:26:00Z</dcterms:created>
  <dcterms:modified xsi:type="dcterms:W3CDTF">2018-02-25T00:09:00Z</dcterms:modified>
</cp:coreProperties>
</file>