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The Canadian Art Educator of the Year (Higher Education)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Award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0" distR="0" hidden="0" layoutInCell="1" locked="0" relativeHeight="0" simplePos="0">
            <wp:simplePos x="0" y="0"/>
            <wp:positionH relativeFrom="margin">
              <wp:posOffset>7026909</wp:posOffset>
            </wp:positionH>
            <wp:positionV relativeFrom="page">
              <wp:posOffset>316230</wp:posOffset>
            </wp:positionV>
            <wp:extent cx="1196340" cy="1196340"/>
            <wp:effectExtent b="0" l="0" r="0" t="0"/>
            <wp:wrapNone/>
            <wp:docPr descr="2016 Square Logo copy.jpg" id="1" name="image1.jpg"/>
            <a:graphic>
              <a:graphicData uri="http://schemas.openxmlformats.org/drawingml/2006/picture">
                <pic:pic>
                  <pic:nvPicPr>
                    <pic:cNvPr descr="2016 Square Logo copy.jpg" id="0" name="image1.jpg"/>
                    <pic:cNvPicPr preferRelativeResize="0"/>
                  </pic:nvPicPr>
                  <pic:blipFill>
                    <a:blip r:embed="rId6"/>
                    <a:srcRect b="0" l="0" r="0" t="0"/>
                    <a:stretch>
                      <a:fillRect/>
                    </a:stretch>
                  </pic:blipFill>
                  <pic:spPr>
                    <a:xfrm>
                      <a:off x="0" y="0"/>
                      <a:ext cx="1196340" cy="1196340"/>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tab/>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Criteria for Committee Selection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CSEA/SCÉA mandate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dedicated to the visual arts as essential to student learning in schools, colleges, universities, community settings and other venues, because art education is the conduit to holistic human growth and development, both affective and cognitive. The visual arts are implicit in and expressive of culture. Engagement in and with the visual arts has the power to transform who we are individually and collectively.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Canadian Art Educator of the Year Awards recognize art educators who have made significant contributions to the field of art education in Canada.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educators working in university, art gallery, college or community settings in Canada can be nominated for this award. The nominee should be a mid to late career art educator and demonstrate: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excellence in teaching and research in art education,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leadership in art education,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significant contribution to art education nationally and internationally,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CSEA/SCÉA membership,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mandate of the CSEA/SCÉA.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Ratings for strength and alignment of evidence: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296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50"/>
        <w:gridCol w:w="12210"/>
        <w:tblGridChange w:id="0">
          <w:tblGrid>
            <w:gridCol w:w="750"/>
            <w:gridCol w:w="12210"/>
          </w:tblGrid>
        </w:tblGridChange>
      </w:tblGrid>
      <w:tr>
        <w:trPr>
          <w:cantSplit w:val="0"/>
          <w:trHeight w:val="60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Outstanding evidence provided from peers, students, and nominee to support criterion. Alignment between multiple sources of evidence is clear for this criterion. </w:t>
            </w: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evidence provided from peers, students, and nominee to support criterion, with some gaps evident. </w:t>
            </w:r>
            <w:r w:rsidDel="00000000" w:rsidR="00000000" w:rsidRPr="00000000">
              <w:rPr>
                <w:rtl w:val="0"/>
              </w:rPr>
            </w:r>
          </w:p>
        </w:tc>
      </w:tr>
      <w:tr>
        <w:trPr>
          <w:cantSplit w:val="0"/>
          <w:trHeight w:val="60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Moderate evidence provided from peers, students, and nominee to support criterion, with gaps evident. Alignment between multiple sources of evidence unclear for this criterion. </w:t>
            </w: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to no evidence is provided from peers, students, and nominee to support criterion. </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269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50"/>
        <w:gridCol w:w="1830"/>
        <w:gridCol w:w="7710"/>
        <w:tblGridChange w:id="0">
          <w:tblGrid>
            <w:gridCol w:w="3150"/>
            <w:gridCol w:w="1830"/>
            <w:gridCol w:w="7710"/>
          </w:tblGrid>
        </w:tblGridChange>
      </w:tblGrid>
      <w:tr>
        <w:trPr>
          <w:cantSplit w:val="0"/>
          <w:trHeight w:val="1465" w:hRule="atLeast"/>
          <w:tblHeader w:val="0"/>
        </w:trPr>
        <w:tc>
          <w:tcPr>
            <w:tcBorders>
              <w:top w:color="000000" w:space="0" w:sz="8"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Criteria for CSEA/SCÉA Canadian Art Educator of the Year Award (Higher Education)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Ranking 1-4</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116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excellence in art teaching.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16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leadership in art education.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r>
      <w:tr>
        <w:trPr>
          <w:cantSplit w:val="0"/>
          <w:trHeight w:val="1291"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8">
            <w:pPr>
              <w:spacing w:after="20" w:lineRule="auto"/>
              <w:rPr/>
            </w:pPr>
            <w:r w:rsidDel="00000000" w:rsidR="00000000" w:rsidRPr="00000000">
              <w:rPr>
                <w:rFonts w:ascii="Calibri" w:cs="Calibri" w:eastAsia="Calibri" w:hAnsi="Calibri"/>
                <w:color w:val="000000"/>
                <w:u w:val="none"/>
                <w:rtl w:val="0"/>
              </w:rPr>
              <w:t xml:space="preserve">Evidence of addressing inclusivity and diversity in their teaching.</w:t>
            </w:r>
            <w:r w:rsidDel="00000000" w:rsidR="00000000" w:rsidRPr="00000000">
              <w:rPr>
                <w:rtl w:val="0"/>
              </w:rPr>
            </w:r>
          </w:p>
          <w:p w:rsidR="00000000" w:rsidDel="00000000" w:rsidP="00000000" w:rsidRDefault="00000000" w:rsidRPr="00000000" w14:paraId="00000029">
            <w:pPr>
              <w:spacing w:after="2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r>
          </w:p>
        </w:tc>
      </w:tr>
      <w:tr>
        <w:trPr>
          <w:cantSplit w:val="0"/>
          <w:trHeight w:val="1162"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a significant contribution to art education nationally and internationally.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174"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demonstrating the mandate of the CSEA/SCÉA.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1">
            <w:pPr>
              <w:rPr/>
            </w:pPr>
            <w:r w:rsidDel="00000000" w:rsidR="00000000" w:rsidRPr="00000000">
              <w:rPr>
                <w:rtl w:val="0"/>
              </w:rPr>
            </w:r>
          </w:p>
        </w:tc>
      </w:tr>
      <w:tr>
        <w:trPr>
          <w:cantSplit w:val="0"/>
          <w:trHeight w:val="265" w:hRule="atLeast"/>
          <w:tblHeader w:val="0"/>
        </w:trPr>
        <w:tc>
          <w:tcPr>
            <w:tcBorders>
              <w:top w:color="000000" w:space="0" w:sz="6" w:val="single"/>
              <w:left w:color="000000" w:space="0" w:sz="8"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Score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5">
      <w:pPr>
        <w:rPr>
          <w:rFonts w:ascii="Calibri" w:cs="Calibri" w:eastAsia="Calibri" w:hAnsi="Calibri"/>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comments: </w:t>
      </w:r>
    </w:p>
    <w:p w:rsidR="00000000" w:rsidDel="00000000" w:rsidP="00000000" w:rsidRDefault="00000000" w:rsidRPr="00000000" w14:paraId="0000003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7" w:type="default"/>
      <w:footerReference r:id="rId8" w:type="default"/>
      <w:pgSz w:h="12240" w:w="15840" w:orient="landscape"/>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