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CSEA/SCÉA Community Art Education Award </w:t>
        <w:tab/>
        <w:tab/>
        <w:tab/>
        <w:tab/>
        <w:tab/>
        <w:tab/>
        <w:tab/>
      </w:r>
      <w:r w:rsidDel="00000000" w:rsidR="00000000" w:rsidRPr="00000000">
        <w:drawing>
          <wp:anchor allowOverlap="1" behindDoc="0" distB="0" distT="0" distL="0" distR="0" hidden="0" layoutInCell="1" locked="0" relativeHeight="0" simplePos="0">
            <wp:simplePos x="0" y="0"/>
            <wp:positionH relativeFrom="column">
              <wp:posOffset>6590030</wp:posOffset>
            </wp:positionH>
            <wp:positionV relativeFrom="paragraph">
              <wp:posOffset>-534668</wp:posOffset>
            </wp:positionV>
            <wp:extent cx="1224915" cy="1224915"/>
            <wp:effectExtent b="0" l="0" r="0" t="0"/>
            <wp:wrapNone/>
            <wp:docPr descr="2016 Square Logo copy.jpg" id="1" name="image1.jpg"/>
            <a:graphic>
              <a:graphicData uri="http://schemas.openxmlformats.org/drawingml/2006/picture">
                <pic:pic>
                  <pic:nvPicPr>
                    <pic:cNvPr descr="2016 Square Logo copy.jpg" id="0" name="image1.jpg"/>
                    <pic:cNvPicPr preferRelativeResize="0"/>
                  </pic:nvPicPr>
                  <pic:blipFill>
                    <a:blip r:embed="rId6"/>
                    <a:srcRect b="0" l="0" r="0" t="0"/>
                    <a:stretch>
                      <a:fillRect/>
                    </a:stretch>
                  </pic:blipFill>
                  <pic:spPr>
                    <a:xfrm>
                      <a:off x="0" y="0"/>
                      <a:ext cx="1224915" cy="122491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Criteria for Committee Selection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CSEA/SCÉA mandate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dedicated to the visual arts as essential to student learning in schools, colleges, universities, community settings and other venues, because art education is the conduit to holistic human growth and development, both affective and cognitive. The visual arts are implicit in and expressive of culture. Engagement in and with the visual arts has the power to transform who we are individually and collectively.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art educators or community art organizations in Canada can be nominated for this award. The nominee should demonstrate: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in community art organization,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significant contribution to art education locally and beyond,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mandate of the CSEA/SCÉA.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Ratings for strength and alignment of evidence: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296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750"/>
        <w:gridCol w:w="12210"/>
        <w:tblGridChange w:id="0">
          <w:tblGrid>
            <w:gridCol w:w="750"/>
            <w:gridCol w:w="12210"/>
          </w:tblGrid>
        </w:tblGridChange>
      </w:tblGrid>
      <w:tr>
        <w:trPr>
          <w:cantSplit w:val="0"/>
          <w:trHeight w:val="7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Outstanding evidence provided from peers, students, and nominee to support criterion. Alignment between multiple sources of evidence is clear for this criterion. </w:t>
            </w:r>
            <w:r w:rsidDel="00000000" w:rsidR="00000000" w:rsidRPr="00000000">
              <w:rPr>
                <w:rtl w:val="0"/>
              </w:rPr>
            </w:r>
          </w:p>
        </w:tc>
      </w:tr>
      <w:tr>
        <w:trPr>
          <w:cantSplit w:val="0"/>
          <w:trHeight w:val="2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evidence provided from peers, students, and nominee to support criterion, with some gaps evident. </w:t>
            </w:r>
            <w:r w:rsidDel="00000000" w:rsidR="00000000" w:rsidRPr="00000000">
              <w:rPr>
                <w:rtl w:val="0"/>
              </w:rPr>
            </w:r>
          </w:p>
        </w:tc>
      </w:tr>
      <w:tr>
        <w:trPr>
          <w:cantSplit w:val="0"/>
          <w:trHeight w:val="60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Moderate evidence provided from peers, students, and nominee to support criterion, with gaps evident. Alignment between multiple sources of evidence unclear for this criterion. </w:t>
            </w:r>
            <w:r w:rsidDel="00000000" w:rsidR="00000000" w:rsidRPr="00000000">
              <w:rPr>
                <w:rtl w:val="0"/>
              </w:rPr>
            </w:r>
          </w:p>
        </w:tc>
      </w:tr>
      <w:tr>
        <w:trPr>
          <w:cantSplit w:val="0"/>
          <w:trHeight w:val="2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to no evidence is provided from peers, students, and nominee to support criterion. </w:t>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269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630"/>
        <w:gridCol w:w="1410"/>
        <w:gridCol w:w="7650"/>
        <w:tblGridChange w:id="0">
          <w:tblGrid>
            <w:gridCol w:w="3630"/>
            <w:gridCol w:w="1410"/>
            <w:gridCol w:w="7650"/>
          </w:tblGrid>
        </w:tblGridChange>
      </w:tblGrid>
      <w:tr>
        <w:trPr>
          <w:cantSplit w:val="0"/>
          <w:trHeight w:val="565" w:hRule="atLeast"/>
          <w:tblHeader w:val="0"/>
        </w:trPr>
        <w:tc>
          <w:tcPr>
            <w:tcBorders>
              <w:top w:color="000000" w:space="0" w:sz="8"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Criteria for CSEA/SCÉA Community Art Education Award</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Ranking 1-4 </w:t>
            </w:r>
            <w:r w:rsidDel="00000000" w:rsidR="00000000" w:rsidRPr="00000000">
              <w:rPr>
                <w:rtl w:val="0"/>
              </w:rPr>
            </w:r>
          </w:p>
        </w:tc>
        <w:tc>
          <w:tcPr>
            <w:tcBorders>
              <w:top w:color="000000" w:space="0" w:sz="8"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Comments</w:t>
            </w:r>
            <w:r w:rsidDel="00000000" w:rsidR="00000000" w:rsidRPr="00000000">
              <w:rPr>
                <w:rtl w:val="0"/>
              </w:rPr>
            </w:r>
          </w:p>
        </w:tc>
      </w:tr>
      <w:tr>
        <w:trPr>
          <w:cantSplit w:val="0"/>
          <w:trHeight w:val="1462"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individual or arts organization is highly active in community art education.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012"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individual or arts organization shows leadership in community art education, and significant public engagement.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r>
      <w:tr>
        <w:trPr>
          <w:cantSplit w:val="0"/>
          <w:trHeight w:val="1762"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individual or arts organization shows evidence of addressing inclusivity and diversity in their teaching and/or programming.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2065"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individual or arts organization’s work upholds the principles that broadly inform the mandate of the CSEA/SCÉA.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265"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Score</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 comments: </w:t>
      </w:r>
    </w:p>
    <w:p w:rsidR="00000000" w:rsidDel="00000000" w:rsidP="00000000" w:rsidRDefault="00000000" w:rsidRPr="00000000" w14:paraId="00000031">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